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C" w:rsidRPr="005C516C" w:rsidRDefault="005C516C" w:rsidP="005C516C">
      <w:pPr>
        <w:spacing w:after="12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ru-RU"/>
        </w:rPr>
      </w:pPr>
      <w:r w:rsidRPr="005C516C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ru-RU"/>
        </w:rPr>
        <w:t>Климатическая политика РФ реагирует на внешние вызовы</w:t>
      </w:r>
    </w:p>
    <w:p w:rsidR="005C516C" w:rsidRPr="005C516C" w:rsidRDefault="005C516C" w:rsidP="005C516C">
      <w:pPr>
        <w:spacing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5C516C">
        <w:rPr>
          <w:rFonts w:ascii="Georgia" w:eastAsia="Times New Roman" w:hAnsi="Georgia" w:cs="Times New Roman"/>
          <w:b/>
          <w:bCs/>
          <w:color w:val="333333"/>
          <w:kern w:val="36"/>
          <w:sz w:val="30"/>
          <w:szCs w:val="30"/>
          <w:lang w:eastAsia="ru-RU"/>
        </w:rPr>
        <w:t>Мониторинг экологии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5C516C" w:rsidRPr="005C516C" w:rsidRDefault="005C516C" w:rsidP="005C516C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5C516C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  <w:hyperlink r:id="rId5" w:anchor="comments" w:tooltip="Комментариев: 1" w:history="1">
        <w:r w:rsidRPr="005C516C">
          <w:rPr>
            <w:rFonts w:ascii="a" w:eastAsia="Times New Roman" w:hAnsi="a" w:cs="Times New Roman"/>
            <w:color w:val="006697"/>
            <w:sz w:val="2"/>
            <w:szCs w:val="2"/>
            <w:bdr w:val="none" w:sz="0" w:space="0" w:color="auto" w:frame="1"/>
            <w:lang w:eastAsia="ru-RU"/>
          </w:rPr>
          <w:t> </w:t>
        </w:r>
        <w:r w:rsidRPr="005C516C">
          <w:rPr>
            <w:rFonts w:ascii="Arial" w:eastAsia="Times New Roman" w:hAnsi="Arial" w:cs="Arial"/>
            <w:color w:val="999999"/>
            <w:sz w:val="14"/>
            <w:szCs w:val="14"/>
            <w:bdr w:val="none" w:sz="0" w:space="0" w:color="auto" w:frame="1"/>
            <w:lang w:eastAsia="ru-RU"/>
          </w:rPr>
          <w:t>1</w:t>
        </w:r>
      </w:hyperlink>
    </w:p>
    <w:p w:rsidR="005C516C" w:rsidRPr="005C516C" w:rsidRDefault="005C516C" w:rsidP="005C516C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5C516C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225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5C516C" w:rsidRPr="005C516C" w:rsidRDefault="005C516C" w:rsidP="005C516C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5C516C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5C516C" w:rsidRPr="005C516C" w:rsidRDefault="005C516C" w:rsidP="005C516C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5C516C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5C516C" w:rsidRPr="005C516C" w:rsidRDefault="005C516C" w:rsidP="005C516C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5C516C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5C516C" w:rsidRPr="005C516C" w:rsidRDefault="005C516C" w:rsidP="005C516C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5C516C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5C516C" w:rsidRPr="005C516C" w:rsidRDefault="005C516C" w:rsidP="005C516C">
      <w:pPr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5C516C">
        <w:rPr>
          <w:rFonts w:ascii="a" w:eastAsia="Times New Roman" w:hAnsi="a" w:cs="Times New Roman"/>
          <w:sz w:val="2"/>
          <w:szCs w:val="2"/>
          <w:lang w:eastAsia="ru-RU"/>
        </w:rPr>
        <w:t> </w:t>
      </w:r>
    </w:p>
    <w:p w:rsidR="005C516C" w:rsidRPr="005C516C" w:rsidRDefault="005C516C" w:rsidP="005C516C">
      <w:pPr>
        <w:numPr>
          <w:ilvl w:val="0"/>
          <w:numId w:val="1"/>
        </w:numPr>
        <w:spacing w:after="0" w:line="0" w:lineRule="auto"/>
        <w:ind w:left="0"/>
        <w:textAlignment w:val="center"/>
        <w:rPr>
          <w:rFonts w:ascii="a" w:eastAsia="Times New Roman" w:hAnsi="a" w:cs="Times New Roman"/>
          <w:sz w:val="2"/>
          <w:szCs w:val="2"/>
          <w:lang w:eastAsia="ru-RU"/>
        </w:rPr>
      </w:pPr>
    </w:p>
    <w:p w:rsidR="005C516C" w:rsidRPr="005C516C" w:rsidRDefault="005C516C" w:rsidP="005C516C">
      <w:pPr>
        <w:spacing w:line="24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5C516C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Газета "Коммерсантъ" </w:t>
      </w:r>
      <w:hyperlink r:id="rId6" w:history="1">
        <w:r w:rsidRPr="005C516C">
          <w:rPr>
            <w:rFonts w:ascii="Arial" w:eastAsia="Times New Roman" w:hAnsi="Arial" w:cs="Arial"/>
            <w:color w:val="006697"/>
            <w:sz w:val="18"/>
            <w:szCs w:val="18"/>
            <w:bdr w:val="none" w:sz="0" w:space="0" w:color="auto" w:frame="1"/>
            <w:lang w:eastAsia="ru-RU"/>
          </w:rPr>
          <w:t>№22</w:t>
        </w:r>
      </w:hyperlink>
      <w:r w:rsidRPr="005C516C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от 09.02.2021, стр. 2</w:t>
      </w:r>
    </w:p>
    <w:p w:rsidR="005C516C" w:rsidRPr="005C516C" w:rsidRDefault="005C516C" w:rsidP="005C516C">
      <w:pPr>
        <w:shd w:val="clear" w:color="auto" w:fill="FFFFFF"/>
        <w:spacing w:before="240" w:after="240" w:line="360" w:lineRule="atLeast"/>
        <w:textAlignment w:val="baseline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Международная </w:t>
      </w:r>
      <w:proofErr w:type="spellStart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низкоуглеродная</w:t>
      </w:r>
      <w:proofErr w:type="spellEnd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повестка становится драйвером развития климатической политики и в России — для поддержания конкурентоспособности экономики РФ необходимо перейти к более </w:t>
      </w:r>
      <w:proofErr w:type="spellStart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проактивным</w:t>
      </w:r>
      <w:proofErr w:type="spellEnd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действиям, в том числе в области углеродного регулирования, формирования системы «</w:t>
      </w:r>
      <w:proofErr w:type="spellStart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низкоуглеродных</w:t>
      </w:r>
      <w:proofErr w:type="spellEnd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» сертификатов, а также продвижения российских </w:t>
      </w:r>
      <w:proofErr w:type="spellStart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низкоуглеродных</w:t>
      </w:r>
      <w:proofErr w:type="spellEnd"/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технологий на экспорт. Таковы основные выводы доклада «Климатическая повестка России: реагируя на международные вызовы», подготовленного Центром стратегических разработок совместно с аналитическим центром ТЭК РЭА Минэнерго и ООО «Ситуационный центр».</w:t>
      </w:r>
    </w:p>
    <w:p w:rsidR="005C516C" w:rsidRPr="005C516C" w:rsidRDefault="005C516C" w:rsidP="005C516C">
      <w:pPr>
        <w:shd w:val="clear" w:color="auto" w:fill="FFFFFF"/>
        <w:spacing w:line="0" w:lineRule="auto"/>
        <w:textAlignment w:val="baseline"/>
        <w:rPr>
          <w:rFonts w:ascii="a" w:eastAsia="Times New Roman" w:hAnsi="a" w:cs="Arial"/>
          <w:color w:val="000000"/>
          <w:sz w:val="2"/>
          <w:szCs w:val="2"/>
          <w:lang w:eastAsia="ru-RU"/>
        </w:rPr>
      </w:pPr>
      <w:r w:rsidRPr="005C516C">
        <w:rPr>
          <w:rFonts w:ascii="a" w:eastAsia="Times New Roman" w:hAnsi="a" w:cs="Arial"/>
          <w:noProof/>
          <w:color w:val="006697"/>
          <w:sz w:val="2"/>
          <w:szCs w:val="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06745" cy="9944100"/>
            <wp:effectExtent l="0" t="0" r="8255" b="0"/>
            <wp:docPr id="1" name="Рисунок 1" descr="https://im.kommersant.ru/ISSUES.PHOTO/DAILY/2021/022/_2021d022-02-0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.kommersant.ru/ISSUES.PHOTO/DAILY/2021/022/_2021d022-02-0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C" w:rsidRPr="005C516C" w:rsidRDefault="005C516C" w:rsidP="005C516C">
      <w:pPr>
        <w:shd w:val="clear" w:color="auto" w:fill="FFFFFF"/>
        <w:spacing w:before="240" w:after="240" w:line="360" w:lineRule="atLeast"/>
        <w:textAlignment w:val="baseline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По мнению авторов, проблема климатических изменений ставит перед экономикой России два основных вызова: необходимость адаптации к климатическим изменениям (например, к таянию вечной мерзлоты на территории РФ) и реагирование на усиление внешних климатических факторов, таких как потенциальные ограничения в международной торговле и рост числа стран и компаний, поддерживающих отказ от ископаемого топлива. При реализации наиболее негативного для РФ сценария потери российских экспортеров в страны ЕС до 2030 года только по нефти, нефтепродуктам, газу, СПГ и полиолефинам могут составить, по оценке авторов доклада, от €1,4 млрд до €2,4 млрд в год, по удобрениям — €0,2–0,5 млрд в год. Кроме того, нарастает запрос на раскрытие углеродной отчетности и ограничение возможностей по привлечению финансирования. Еще один вызов для РФ — исключение или ограничение поддержки атомной и большой гидроэнергетики в рамках отдельных механизмов зеленого финансирования в мире.</w:t>
      </w:r>
    </w:p>
    <w:p w:rsidR="005C516C" w:rsidRPr="005C516C" w:rsidRDefault="005C516C" w:rsidP="005C516C">
      <w:pPr>
        <w:shd w:val="clear" w:color="auto" w:fill="FFFFFF"/>
        <w:spacing w:before="240" w:after="240" w:line="360" w:lineRule="atLeast"/>
        <w:textAlignment w:val="baseline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5C516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 качестве мер реагирования авторы доклада предлагают проработать возможность развития в РФ мер углеродного регулирования (в форме национальной системы торговли квотами на выбросы), которое на начальном этапе может работать в добровольном режиме (пока законопроект «Об ограничении выбросов парниковых газов» предусматривает лишь создание системы отчетности и поддержку проектов по снижению выбросов). В случае введения в ЕС трансграничного углеродного регулирования авторы доклада предлагают проработать симметричные меры для импорта из ЕС с одновременной компенсацией для потребителей в РФ и для наиболее пострадавших предприятий.</w:t>
      </w:r>
    </w:p>
    <w:p w:rsidR="005C516C" w:rsidRPr="005C516C" w:rsidRDefault="005C516C" w:rsidP="005C516C">
      <w:pPr>
        <w:pBdr>
          <w:top w:val="single" w:sz="6" w:space="2" w:color="CCCCCC"/>
        </w:pBdr>
        <w:shd w:val="clear" w:color="auto" w:fill="FFFFFF"/>
        <w:spacing w:before="240" w:line="240" w:lineRule="auto"/>
        <w:textAlignment w:val="baseline"/>
        <w:rPr>
          <w:rFonts w:ascii="Georgia" w:eastAsia="Times New Roman" w:hAnsi="Georgia" w:cs="Arial"/>
          <w:i/>
          <w:iCs/>
          <w:color w:val="333333"/>
          <w:sz w:val="21"/>
          <w:szCs w:val="21"/>
          <w:lang w:eastAsia="ru-RU"/>
        </w:rPr>
      </w:pPr>
      <w:r w:rsidRPr="005C516C">
        <w:rPr>
          <w:rFonts w:ascii="Georgia" w:eastAsia="Times New Roman" w:hAnsi="Georgia" w:cs="Arial"/>
          <w:i/>
          <w:iCs/>
          <w:color w:val="333333"/>
          <w:sz w:val="21"/>
          <w:szCs w:val="21"/>
          <w:lang w:eastAsia="ru-RU"/>
        </w:rPr>
        <w:t>Ангелина Давыдова</w:t>
      </w:r>
    </w:p>
    <w:p w:rsidR="00F27213" w:rsidRDefault="00F27213">
      <w:bookmarkStart w:id="0" w:name="_GoBack"/>
      <w:bookmarkEnd w:id="0"/>
    </w:p>
    <w:sectPr w:rsidR="00F2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636"/>
    <w:multiLevelType w:val="multilevel"/>
    <w:tmpl w:val="4AC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6C"/>
    <w:rsid w:val="005C516C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D321-12C1-40E4-8EA6-7B28F93D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516C"/>
    <w:rPr>
      <w:color w:val="0000FF"/>
      <w:u w:val="single"/>
    </w:rPr>
  </w:style>
  <w:style w:type="character" w:customStyle="1" w:styleId="comments-number">
    <w:name w:val="comments-number"/>
    <w:basedOn w:val="a0"/>
    <w:rsid w:val="005C516C"/>
  </w:style>
  <w:style w:type="paragraph" w:customStyle="1" w:styleId="b-articletext">
    <w:name w:val="b-article__text"/>
    <w:basedOn w:val="a"/>
    <w:rsid w:val="005C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49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206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917938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333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m.kommersant.ru/ISSUES.PHOTO/DAILY/2021/022/_2021d022-02-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mersant.ru/daily/132460" TargetMode="External"/><Relationship Id="rId5" Type="http://schemas.openxmlformats.org/officeDocument/2006/relationships/hyperlink" Target="https://www.kommersant.ru/doc/46823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2021-02-15T18:12:00Z</dcterms:created>
  <dcterms:modified xsi:type="dcterms:W3CDTF">2021-02-15T18:12:00Z</dcterms:modified>
</cp:coreProperties>
</file>